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292A" w14:textId="6E86DBB4" w:rsidR="004546E0" w:rsidRPr="008C5CC7" w:rsidRDefault="004546E0" w:rsidP="008C5CC7">
      <w:pPr>
        <w:pStyle w:val="Heading1"/>
        <w:bidi/>
        <w:jc w:val="center"/>
      </w:pPr>
      <w:r w:rsidRPr="008C5CC7">
        <w:rPr>
          <w:rFonts w:hint="cs"/>
          <w:rtl/>
        </w:rPr>
        <w:t>הסכמה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למסירת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מידע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מהמרשם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הפלילי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ומידע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על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תיקים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תלויים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ועומדים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לפי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סעיפים</w:t>
      </w:r>
      <w:r w:rsidRPr="008C5CC7">
        <w:rPr>
          <w:rtl/>
        </w:rPr>
        <w:t xml:space="preserve"> 11 </w:t>
      </w:r>
      <w:r w:rsidRPr="008C5CC7">
        <w:rPr>
          <w:rFonts w:hint="cs"/>
          <w:rtl/>
        </w:rPr>
        <w:t>או</w:t>
      </w:r>
      <w:r w:rsidRPr="008C5CC7">
        <w:rPr>
          <w:rtl/>
        </w:rPr>
        <w:t xml:space="preserve"> 12 </w:t>
      </w:r>
      <w:r w:rsidRPr="008C5CC7">
        <w:rPr>
          <w:rFonts w:hint="cs"/>
          <w:rtl/>
        </w:rPr>
        <w:t>לחוק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המידע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הפלילי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ותקנת</w:t>
      </w:r>
      <w:r w:rsidRPr="008C5CC7">
        <w:rPr>
          <w:rtl/>
        </w:rPr>
        <w:t xml:space="preserve"> </w:t>
      </w:r>
      <w:r w:rsidRPr="008C5CC7">
        <w:rPr>
          <w:rFonts w:hint="cs"/>
          <w:rtl/>
        </w:rPr>
        <w:t>השבים</w:t>
      </w:r>
      <w:r w:rsidRPr="008C5CC7">
        <w:rPr>
          <w:rtl/>
        </w:rPr>
        <w:t xml:space="preserve">, </w:t>
      </w:r>
      <w:proofErr w:type="spellStart"/>
      <w:r w:rsidRPr="008C5CC7">
        <w:rPr>
          <w:rFonts w:hint="cs"/>
          <w:rtl/>
        </w:rPr>
        <w:t>התשע"ט</w:t>
      </w:r>
      <w:proofErr w:type="spellEnd"/>
      <w:r w:rsidRPr="008C5CC7">
        <w:rPr>
          <w:rFonts w:hint="eastAsia"/>
          <w:rtl/>
        </w:rPr>
        <w:t>–</w:t>
      </w:r>
      <w:r w:rsidRPr="008C5CC7">
        <w:rPr>
          <w:rtl/>
        </w:rPr>
        <w:t>2019</w:t>
      </w:r>
    </w:p>
    <w:p w14:paraId="29774723" w14:textId="77777777" w:rsidR="004546E0" w:rsidRDefault="004546E0" w:rsidP="004546E0">
      <w:pPr>
        <w:bidi/>
        <w:jc w:val="both"/>
        <w:rPr>
          <w:rFonts w:cs="Arial"/>
          <w:rtl/>
        </w:rPr>
      </w:pPr>
    </w:p>
    <w:p w14:paraId="615D0526" w14:textId="2B897B1B" w:rsidR="004546E0" w:rsidRPr="004546E0" w:rsidRDefault="004546E0" w:rsidP="004546E0">
      <w:pPr>
        <w:bidi/>
        <w:jc w:val="both"/>
        <w:rPr>
          <w:sz w:val="24"/>
          <w:szCs w:val="24"/>
        </w:rPr>
      </w:pPr>
      <w:r w:rsidRPr="004546E0">
        <w:rPr>
          <w:rFonts w:cs="Arial" w:hint="cs"/>
          <w:sz w:val="24"/>
          <w:szCs w:val="24"/>
          <w:rtl/>
        </w:rPr>
        <w:t>אני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הח</w:t>
      </w:r>
      <w:r>
        <w:rPr>
          <w:rFonts w:cs="Arial"/>
          <w:sz w:val="24"/>
          <w:szCs w:val="24"/>
          <w:rtl/>
        </w:rPr>
        <w:t>”</w:t>
      </w:r>
      <w:r w:rsidRPr="004546E0">
        <w:rPr>
          <w:rFonts w:cs="Arial" w:hint="cs"/>
          <w:sz w:val="24"/>
          <w:szCs w:val="24"/>
          <w:rtl/>
        </w:rPr>
        <w:t>מ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/>
          <w:sz w:val="24"/>
          <w:szCs w:val="24"/>
        </w:rPr>
        <w:t xml:space="preserve">______________________ </w:t>
      </w:r>
      <w:r w:rsidRPr="004546E0">
        <w:rPr>
          <w:rFonts w:cs="Arial" w:hint="cs"/>
          <w:sz w:val="24"/>
          <w:szCs w:val="24"/>
          <w:rtl/>
        </w:rPr>
        <w:t>מס׳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זהות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/>
          <w:sz w:val="24"/>
          <w:szCs w:val="24"/>
        </w:rPr>
        <w:t>__________________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נותן</w:t>
      </w:r>
      <w:r w:rsidRPr="004546E0">
        <w:rPr>
          <w:rFonts w:cs="Arial"/>
          <w:sz w:val="24"/>
          <w:szCs w:val="24"/>
          <w:rtl/>
        </w:rPr>
        <w:t>/</w:t>
      </w:r>
      <w:r w:rsidRPr="004546E0">
        <w:rPr>
          <w:rFonts w:cs="Arial" w:hint="cs"/>
          <w:sz w:val="24"/>
          <w:szCs w:val="24"/>
          <w:rtl/>
        </w:rPr>
        <w:t>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בזה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את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הסכמתי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לכך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שמשטרת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ישראל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תמסור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מידע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עליי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מהמרשם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הפלילי</w:t>
      </w:r>
      <w:r w:rsidRPr="004546E0">
        <w:rPr>
          <w:rFonts w:cs="Arial"/>
          <w:sz w:val="24"/>
          <w:szCs w:val="24"/>
          <w:rtl/>
        </w:rPr>
        <w:t xml:space="preserve">, </w:t>
      </w:r>
      <w:r w:rsidRPr="004546E0">
        <w:rPr>
          <w:rFonts w:cs="Arial" w:hint="cs"/>
          <w:sz w:val="24"/>
          <w:szCs w:val="24"/>
          <w:rtl/>
        </w:rPr>
        <w:t>וכן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מידע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על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תיקים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תלויים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ועומדים</w:t>
      </w:r>
      <w:r w:rsidRPr="004546E0">
        <w:rPr>
          <w:rFonts w:cs="Arial"/>
          <w:sz w:val="24"/>
          <w:szCs w:val="24"/>
          <w:rtl/>
        </w:rPr>
        <w:t xml:space="preserve">, </w:t>
      </w:r>
      <w:r w:rsidRPr="004546E0">
        <w:rPr>
          <w:rFonts w:cs="Arial" w:hint="cs"/>
          <w:sz w:val="24"/>
          <w:szCs w:val="24"/>
          <w:rtl/>
        </w:rPr>
        <w:t>בהתאם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להוראות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חוק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המידע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הפלילי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ותקנת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השבים</w:t>
      </w:r>
      <w:r w:rsidRPr="004546E0">
        <w:rPr>
          <w:rFonts w:cs="Arial"/>
          <w:sz w:val="24"/>
          <w:szCs w:val="24"/>
          <w:rtl/>
        </w:rPr>
        <w:t xml:space="preserve">, </w:t>
      </w:r>
      <w:proofErr w:type="spellStart"/>
      <w:r w:rsidRPr="004546E0">
        <w:rPr>
          <w:rFonts w:cs="Arial" w:hint="cs"/>
          <w:sz w:val="24"/>
          <w:szCs w:val="24"/>
          <w:rtl/>
        </w:rPr>
        <w:t>התשע</w:t>
      </w:r>
      <w:r>
        <w:rPr>
          <w:rFonts w:cs="Arial"/>
          <w:sz w:val="24"/>
          <w:szCs w:val="24"/>
          <w:rtl/>
        </w:rPr>
        <w:t>”</w:t>
      </w:r>
      <w:r w:rsidRPr="004546E0">
        <w:rPr>
          <w:rFonts w:cs="Arial" w:hint="cs"/>
          <w:sz w:val="24"/>
          <w:szCs w:val="24"/>
          <w:rtl/>
        </w:rPr>
        <w:t>ט</w:t>
      </w:r>
      <w:proofErr w:type="spellEnd"/>
      <w:r w:rsidRPr="004546E0">
        <w:rPr>
          <w:rFonts w:cs="Arial" w:hint="eastAsia"/>
          <w:sz w:val="24"/>
          <w:szCs w:val="24"/>
          <w:rtl/>
        </w:rPr>
        <w:t>–</w:t>
      </w:r>
      <w:r w:rsidRPr="004546E0">
        <w:rPr>
          <w:rFonts w:cs="Arial"/>
          <w:sz w:val="24"/>
          <w:szCs w:val="24"/>
          <w:rtl/>
        </w:rPr>
        <w:t>2019 (</w:t>
      </w:r>
      <w:r w:rsidRPr="004546E0">
        <w:rPr>
          <w:rFonts w:cs="Arial" w:hint="cs"/>
          <w:sz w:val="24"/>
          <w:szCs w:val="24"/>
          <w:rtl/>
        </w:rPr>
        <w:t>להלן</w:t>
      </w:r>
      <w:r w:rsidRPr="004546E0">
        <w:rPr>
          <w:rFonts w:cs="Arial"/>
          <w:sz w:val="24"/>
          <w:szCs w:val="24"/>
          <w:rtl/>
        </w:rPr>
        <w:t xml:space="preserve"> – </w:t>
      </w:r>
      <w:r w:rsidRPr="004546E0">
        <w:rPr>
          <w:rFonts w:cs="Arial" w:hint="cs"/>
          <w:sz w:val="24"/>
          <w:szCs w:val="24"/>
          <w:rtl/>
        </w:rPr>
        <w:t>החוק</w:t>
      </w:r>
      <w:r w:rsidRPr="004546E0">
        <w:rPr>
          <w:rFonts w:cs="Arial"/>
          <w:sz w:val="24"/>
          <w:szCs w:val="24"/>
          <w:rtl/>
        </w:rPr>
        <w:t xml:space="preserve">) </w:t>
      </w:r>
      <w:r w:rsidRPr="004546E0">
        <w:rPr>
          <w:rFonts w:cs="Arial" w:hint="cs"/>
          <w:sz w:val="24"/>
          <w:szCs w:val="24"/>
          <w:rtl/>
        </w:rPr>
        <w:t>ל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/>
          <w:sz w:val="24"/>
          <w:szCs w:val="24"/>
        </w:rPr>
        <w:t>_________________________________</w:t>
      </w:r>
      <w:r w:rsidRPr="004546E0">
        <w:rPr>
          <w:rFonts w:cs="Arial"/>
          <w:sz w:val="24"/>
          <w:szCs w:val="24"/>
          <w:rtl/>
        </w:rPr>
        <w:t xml:space="preserve"> (</w:t>
      </w:r>
      <w:r w:rsidRPr="004546E0">
        <w:rPr>
          <w:rFonts w:cs="Arial" w:hint="cs"/>
          <w:sz w:val="24"/>
          <w:szCs w:val="24"/>
          <w:rtl/>
        </w:rPr>
        <w:t>שם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הגורם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הזכאי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לקבל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את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המידע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כאמור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בתוספת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הראשונה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או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בתוספת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השנייה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לחוק</w:t>
      </w:r>
      <w:r w:rsidRPr="004546E0">
        <w:rPr>
          <w:rFonts w:cs="Arial"/>
          <w:sz w:val="24"/>
          <w:szCs w:val="24"/>
          <w:rtl/>
        </w:rPr>
        <w:t xml:space="preserve">), </w:t>
      </w:r>
      <w:r w:rsidRPr="004546E0">
        <w:rPr>
          <w:rFonts w:cs="Arial" w:hint="cs"/>
          <w:sz w:val="24"/>
          <w:szCs w:val="24"/>
          <w:rtl/>
        </w:rPr>
        <w:t>לשם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/>
          <w:sz w:val="24"/>
          <w:szCs w:val="24"/>
        </w:rPr>
        <w:t>_________________________</w:t>
      </w:r>
      <w:r w:rsidRPr="004546E0">
        <w:rPr>
          <w:rFonts w:cs="Arial"/>
          <w:sz w:val="24"/>
          <w:szCs w:val="24"/>
          <w:rtl/>
        </w:rPr>
        <w:t xml:space="preserve"> (</w:t>
      </w:r>
      <w:r w:rsidRPr="004546E0">
        <w:rPr>
          <w:rFonts w:cs="Arial" w:hint="cs"/>
          <w:sz w:val="24"/>
          <w:szCs w:val="24"/>
          <w:rtl/>
        </w:rPr>
        <w:t>פירוט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מטרות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מסירת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המידע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לפי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החוק</w:t>
      </w:r>
      <w:r w:rsidRPr="004546E0">
        <w:rPr>
          <w:rFonts w:cs="Arial"/>
          <w:sz w:val="24"/>
          <w:szCs w:val="24"/>
          <w:rtl/>
        </w:rPr>
        <w:t>)</w:t>
      </w:r>
      <w:r w:rsidRPr="004546E0">
        <w:rPr>
          <w:sz w:val="24"/>
          <w:szCs w:val="24"/>
        </w:rPr>
        <w:t>.</w:t>
      </w:r>
    </w:p>
    <w:p w14:paraId="489B7B4A" w14:textId="6643EA43" w:rsidR="004546E0" w:rsidRPr="004546E0" w:rsidRDefault="004546E0" w:rsidP="004546E0">
      <w:pPr>
        <w:bidi/>
        <w:jc w:val="both"/>
        <w:rPr>
          <w:sz w:val="24"/>
          <w:szCs w:val="24"/>
        </w:rPr>
      </w:pPr>
      <w:r w:rsidRPr="004546E0">
        <w:rPr>
          <w:rFonts w:cs="Arial" w:hint="cs"/>
          <w:sz w:val="24"/>
          <w:szCs w:val="24"/>
          <w:rtl/>
        </w:rPr>
        <w:t>יובהר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כי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הסכמתי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זו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חלה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גם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על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מסירת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מידע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פלילי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לגורם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הנ</w:t>
      </w:r>
      <w:r>
        <w:rPr>
          <w:rFonts w:cs="Arial"/>
          <w:sz w:val="24"/>
          <w:szCs w:val="24"/>
          <w:rtl/>
        </w:rPr>
        <w:t>”</w:t>
      </w:r>
      <w:r w:rsidRPr="004546E0">
        <w:rPr>
          <w:rFonts w:cs="Arial" w:hint="cs"/>
          <w:sz w:val="24"/>
          <w:szCs w:val="24"/>
          <w:rtl/>
        </w:rPr>
        <w:t>ל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מזמן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לזמן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לשם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מעקב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תקופתי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אחר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שינויים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שחלו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במידע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הפלילי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עליי</w:t>
      </w:r>
      <w:r w:rsidRPr="004546E0">
        <w:rPr>
          <w:sz w:val="24"/>
          <w:szCs w:val="24"/>
        </w:rPr>
        <w:t>.</w:t>
      </w:r>
    </w:p>
    <w:p w14:paraId="0FD5A2B9" w14:textId="77777777" w:rsidR="004546E0" w:rsidRPr="004546E0" w:rsidRDefault="004546E0" w:rsidP="004546E0">
      <w:pPr>
        <w:bidi/>
        <w:jc w:val="both"/>
        <w:rPr>
          <w:sz w:val="24"/>
          <w:szCs w:val="24"/>
          <w:lang w:val="en-US"/>
        </w:rPr>
      </w:pPr>
      <w:r w:rsidRPr="004546E0">
        <w:rPr>
          <w:rFonts w:cs="Arial" w:hint="cs"/>
          <w:sz w:val="24"/>
          <w:szCs w:val="24"/>
          <w:rtl/>
        </w:rPr>
        <w:t>הובא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לידיעתי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כי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אני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זכאי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לפי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החוק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לעיין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בתחנת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משטרה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ברישומים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המנוהלים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על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שמי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במרשם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הפלילי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ובמרשם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המשטרתי</w:t>
      </w:r>
      <w:r w:rsidRPr="004546E0">
        <w:rPr>
          <w:sz w:val="24"/>
          <w:szCs w:val="24"/>
        </w:rPr>
        <w:t>.</w:t>
      </w:r>
    </w:p>
    <w:p w14:paraId="11D048B5" w14:textId="77777777" w:rsidR="004546E0" w:rsidRPr="004546E0" w:rsidRDefault="004546E0" w:rsidP="004546E0">
      <w:pPr>
        <w:bidi/>
        <w:jc w:val="both"/>
        <w:rPr>
          <w:sz w:val="24"/>
          <w:szCs w:val="24"/>
        </w:rPr>
      </w:pPr>
      <w:r w:rsidRPr="004546E0">
        <w:rPr>
          <w:rFonts w:cs="Arial" w:hint="cs"/>
          <w:sz w:val="24"/>
          <w:szCs w:val="24"/>
          <w:rtl/>
        </w:rPr>
        <w:t>הובהר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בזה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כי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ככל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שיש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לחובתי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רישום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כאמור</w:t>
      </w:r>
      <w:r w:rsidRPr="004546E0">
        <w:rPr>
          <w:rFonts w:cs="Arial"/>
          <w:sz w:val="24"/>
          <w:szCs w:val="24"/>
          <w:rtl/>
        </w:rPr>
        <w:t xml:space="preserve">, </w:t>
      </w:r>
      <w:r w:rsidRPr="004546E0">
        <w:rPr>
          <w:rFonts w:cs="Arial" w:hint="cs"/>
          <w:sz w:val="24"/>
          <w:szCs w:val="24"/>
          <w:rtl/>
        </w:rPr>
        <w:t>אין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בכך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בהכרח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כדי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לשלול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את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קבלת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הזכות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או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התפקיד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ואני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רשאי</w:t>
      </w:r>
      <w:r w:rsidRPr="004546E0">
        <w:rPr>
          <w:rFonts w:cs="Arial"/>
          <w:sz w:val="24"/>
          <w:szCs w:val="24"/>
          <w:rtl/>
        </w:rPr>
        <w:t>/</w:t>
      </w:r>
      <w:r w:rsidRPr="004546E0">
        <w:rPr>
          <w:rFonts w:cs="Arial" w:hint="cs"/>
          <w:sz w:val="24"/>
          <w:szCs w:val="24"/>
          <w:rtl/>
        </w:rPr>
        <w:t>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לצרף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מידע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על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שיקומי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או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נסיבותיי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האישיות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כדי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שיילקח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בחשבון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בעת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בחינת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בקשתי</w:t>
      </w:r>
      <w:r w:rsidRPr="004546E0">
        <w:rPr>
          <w:rFonts w:cs="Arial"/>
          <w:sz w:val="24"/>
          <w:szCs w:val="24"/>
          <w:rtl/>
        </w:rPr>
        <w:t xml:space="preserve">, </w:t>
      </w:r>
      <w:r w:rsidRPr="004546E0">
        <w:rPr>
          <w:rFonts w:cs="Arial" w:hint="cs"/>
          <w:sz w:val="24"/>
          <w:szCs w:val="24"/>
          <w:rtl/>
        </w:rPr>
        <w:t>בהתאם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לאמות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המידה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שנקבעו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בחוק</w:t>
      </w:r>
      <w:r w:rsidRPr="004546E0">
        <w:rPr>
          <w:sz w:val="24"/>
          <w:szCs w:val="24"/>
        </w:rPr>
        <w:t>.</w:t>
      </w:r>
    </w:p>
    <w:p w14:paraId="7E8215C0" w14:textId="77777777" w:rsidR="004546E0" w:rsidRPr="004546E0" w:rsidRDefault="004546E0" w:rsidP="004546E0">
      <w:pPr>
        <w:bidi/>
        <w:jc w:val="both"/>
        <w:rPr>
          <w:sz w:val="24"/>
          <w:szCs w:val="24"/>
        </w:rPr>
      </w:pPr>
      <w:r w:rsidRPr="004546E0">
        <w:rPr>
          <w:rFonts w:cs="Arial" w:hint="cs"/>
          <w:sz w:val="24"/>
          <w:szCs w:val="24"/>
          <w:rtl/>
        </w:rPr>
        <w:t>ידוע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כי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בהסכמתי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זו</w:t>
      </w:r>
      <w:r w:rsidRPr="004546E0">
        <w:rPr>
          <w:rFonts w:cs="Arial"/>
          <w:sz w:val="24"/>
          <w:szCs w:val="24"/>
          <w:rtl/>
        </w:rPr>
        <w:t xml:space="preserve">, </w:t>
      </w:r>
      <w:r w:rsidRPr="004546E0">
        <w:rPr>
          <w:rFonts w:cs="Arial" w:hint="cs"/>
          <w:sz w:val="24"/>
          <w:szCs w:val="24"/>
          <w:rtl/>
        </w:rPr>
        <w:t>אני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מוותר</w:t>
      </w:r>
      <w:r w:rsidRPr="004546E0">
        <w:rPr>
          <w:rFonts w:cs="Arial"/>
          <w:sz w:val="24"/>
          <w:szCs w:val="24"/>
          <w:rtl/>
        </w:rPr>
        <w:t>/</w:t>
      </w:r>
      <w:r w:rsidRPr="004546E0">
        <w:rPr>
          <w:rFonts w:cs="Arial" w:hint="cs"/>
          <w:sz w:val="24"/>
          <w:szCs w:val="24"/>
          <w:rtl/>
        </w:rPr>
        <w:t>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על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קבלת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הודעה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על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מסירת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המידע</w:t>
      </w:r>
      <w:r w:rsidRPr="004546E0">
        <w:rPr>
          <w:rFonts w:cs="Arial"/>
          <w:sz w:val="24"/>
          <w:szCs w:val="24"/>
          <w:rtl/>
        </w:rPr>
        <w:t xml:space="preserve">, </w:t>
      </w:r>
      <w:r w:rsidRPr="004546E0">
        <w:rPr>
          <w:rFonts w:cs="Arial" w:hint="cs"/>
          <w:sz w:val="24"/>
          <w:szCs w:val="24"/>
          <w:rtl/>
        </w:rPr>
        <w:t>וכל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זאת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בכפוף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להוראות</w:t>
      </w:r>
      <w:r w:rsidRPr="004546E0">
        <w:rPr>
          <w:rFonts w:cs="Arial"/>
          <w:sz w:val="24"/>
          <w:szCs w:val="24"/>
          <w:rtl/>
        </w:rPr>
        <w:t xml:space="preserve"> </w:t>
      </w:r>
      <w:r w:rsidRPr="004546E0">
        <w:rPr>
          <w:rFonts w:cs="Arial" w:hint="cs"/>
          <w:sz w:val="24"/>
          <w:szCs w:val="24"/>
          <w:rtl/>
        </w:rPr>
        <w:t>החוק</w:t>
      </w:r>
      <w:r w:rsidRPr="004546E0">
        <w:rPr>
          <w:sz w:val="24"/>
          <w:szCs w:val="24"/>
        </w:rPr>
        <w:t>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5CC7" w14:paraId="7E8E9A5C" w14:textId="77777777" w:rsidTr="004B7705">
        <w:trPr>
          <w:jc w:val="center"/>
        </w:trPr>
        <w:tc>
          <w:tcPr>
            <w:tcW w:w="3005" w:type="dxa"/>
            <w:tcBorders>
              <w:bottom w:val="single" w:sz="4" w:space="0" w:color="auto"/>
            </w:tcBorders>
          </w:tcPr>
          <w:p w14:paraId="6EA09FBD" w14:textId="77777777" w:rsidR="008C5CC7" w:rsidRDefault="008C5CC7" w:rsidP="004B7705">
            <w:pPr>
              <w:bidi/>
              <w:jc w:val="center"/>
              <w:rPr>
                <w:rtl/>
              </w:rPr>
            </w:pPr>
          </w:p>
        </w:tc>
        <w:tc>
          <w:tcPr>
            <w:tcW w:w="3005" w:type="dxa"/>
          </w:tcPr>
          <w:p w14:paraId="231D09E0" w14:textId="77777777" w:rsidR="008C5CC7" w:rsidRDefault="008C5CC7" w:rsidP="004B7705">
            <w:pPr>
              <w:bidi/>
              <w:jc w:val="center"/>
              <w:rPr>
                <w:rtl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2C10A5BA" w14:textId="77777777" w:rsidR="008C5CC7" w:rsidRDefault="008C5CC7" w:rsidP="004B7705">
            <w:pPr>
              <w:bidi/>
              <w:jc w:val="center"/>
              <w:rPr>
                <w:rtl/>
              </w:rPr>
            </w:pPr>
          </w:p>
          <w:p w14:paraId="5597A825" w14:textId="77777777" w:rsidR="008C5CC7" w:rsidRDefault="008C5CC7" w:rsidP="004B7705">
            <w:pPr>
              <w:bidi/>
              <w:rPr>
                <w:rtl/>
              </w:rPr>
            </w:pPr>
          </w:p>
          <w:p w14:paraId="15B291C3" w14:textId="77777777" w:rsidR="008C5CC7" w:rsidRDefault="008C5CC7" w:rsidP="008C5CC7">
            <w:pPr>
              <w:bidi/>
              <w:rPr>
                <w:rtl/>
              </w:rPr>
            </w:pPr>
          </w:p>
        </w:tc>
      </w:tr>
      <w:tr w:rsidR="008C5CC7" w14:paraId="19DAD825" w14:textId="77777777" w:rsidTr="004B7705">
        <w:trPr>
          <w:jc w:val="center"/>
        </w:trPr>
        <w:tc>
          <w:tcPr>
            <w:tcW w:w="3005" w:type="dxa"/>
            <w:tcBorders>
              <w:top w:val="single" w:sz="4" w:space="0" w:color="auto"/>
            </w:tcBorders>
          </w:tcPr>
          <w:p w14:paraId="3FC4C84A" w14:textId="77777777" w:rsidR="008C5CC7" w:rsidRDefault="008C5CC7" w:rsidP="004B770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3005" w:type="dxa"/>
          </w:tcPr>
          <w:p w14:paraId="7B4484F0" w14:textId="77777777" w:rsidR="008C5CC7" w:rsidRDefault="008C5CC7" w:rsidP="004B7705">
            <w:pPr>
              <w:bidi/>
              <w:jc w:val="center"/>
              <w:rPr>
                <w:rtl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0EACE506" w14:textId="77777777" w:rsidR="008C5CC7" w:rsidRDefault="008C5CC7" w:rsidP="004B7705">
            <w:pPr>
              <w:bidi/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חתימת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העובד</w:t>
            </w:r>
          </w:p>
        </w:tc>
      </w:tr>
    </w:tbl>
    <w:p w14:paraId="5278EA31" w14:textId="61F0D177" w:rsidR="00622637" w:rsidRDefault="00622637" w:rsidP="008C5CC7">
      <w:pPr>
        <w:bidi/>
        <w:rPr>
          <w:rtl/>
        </w:rPr>
      </w:pPr>
    </w:p>
    <w:sectPr w:rsidR="0062263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42568" w14:textId="77777777" w:rsidR="002D57CF" w:rsidRDefault="002D57CF" w:rsidP="008C5CC7">
      <w:pPr>
        <w:spacing w:after="0" w:line="240" w:lineRule="auto"/>
      </w:pPr>
      <w:r>
        <w:separator/>
      </w:r>
    </w:p>
  </w:endnote>
  <w:endnote w:type="continuationSeparator" w:id="0">
    <w:p w14:paraId="55931204" w14:textId="77777777" w:rsidR="002D57CF" w:rsidRDefault="002D57CF" w:rsidP="008C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6DC64" w14:textId="77777777" w:rsidR="002D57CF" w:rsidRDefault="002D57CF" w:rsidP="008C5CC7">
      <w:pPr>
        <w:spacing w:after="0" w:line="240" w:lineRule="auto"/>
      </w:pPr>
      <w:r>
        <w:separator/>
      </w:r>
    </w:p>
  </w:footnote>
  <w:footnote w:type="continuationSeparator" w:id="0">
    <w:p w14:paraId="38D689C5" w14:textId="77777777" w:rsidR="002D57CF" w:rsidRDefault="002D57CF" w:rsidP="008C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3C1C4" w14:textId="33576C1C" w:rsidR="008C5CC7" w:rsidRDefault="008C5CC7" w:rsidP="008C5CC7">
    <w:pPr>
      <w:pStyle w:val="Header"/>
      <w:bidi/>
    </w:pPr>
    <w:r>
      <w:rPr>
        <w:rFonts w:cs="Arial" w:hint="eastAsia"/>
        <w:rtl/>
      </w:rPr>
      <w:t>תוספת</w:t>
    </w:r>
    <w:r>
      <w:rPr>
        <w:rFonts w:cs="Arial"/>
        <w:rtl/>
      </w:rPr>
      <w:t xml:space="preserve"> </w:t>
    </w:r>
    <w:r>
      <w:rPr>
        <w:rFonts w:cs="Arial" w:hint="eastAsia"/>
        <w:rtl/>
      </w:rPr>
      <w:t>שלישית</w:t>
    </w:r>
    <w:r>
      <w:rPr>
        <w:rFonts w:cs="Arial" w:hint="cs"/>
        <w:rtl/>
      </w:rPr>
      <w:t xml:space="preserve"> </w:t>
    </w:r>
    <w:r>
      <w:rPr>
        <w:rFonts w:hint="cs"/>
        <w:rtl/>
      </w:rPr>
      <w:t>(</w:t>
    </w:r>
    <w:r>
      <w:rPr>
        <w:rFonts w:cs="Arial" w:hint="eastAsia"/>
        <w:rtl/>
      </w:rPr>
      <w:t>סעיפים</w:t>
    </w:r>
    <w:r>
      <w:rPr>
        <w:rFonts w:cs="Arial"/>
        <w:rtl/>
      </w:rPr>
      <w:t xml:space="preserve"> 11(</w:t>
    </w:r>
    <w:r>
      <w:rPr>
        <w:rFonts w:cs="Arial" w:hint="eastAsia"/>
        <w:rtl/>
      </w:rPr>
      <w:t>ו</w:t>
    </w:r>
    <w:r>
      <w:rPr>
        <w:rFonts w:cs="Arial"/>
        <w:rtl/>
      </w:rPr>
      <w:t xml:space="preserve">) </w:t>
    </w:r>
    <w:r>
      <w:rPr>
        <w:rFonts w:cs="Arial" w:hint="eastAsia"/>
        <w:rtl/>
      </w:rPr>
      <w:t>ו־</w:t>
    </w:r>
    <w:r>
      <w:rPr>
        <w:rFonts w:cs="Arial"/>
        <w:rtl/>
      </w:rPr>
      <w:t>12(</w:t>
    </w:r>
    <w:r>
      <w:rPr>
        <w:rFonts w:cs="Arial" w:hint="eastAsia"/>
        <w:rtl/>
      </w:rPr>
      <w:t>ד</w:t>
    </w:r>
    <w:r>
      <w:rPr>
        <w:rFonts w:cs="Arial"/>
        <w:rtl/>
      </w:rPr>
      <w:t>)</w:t>
    </w:r>
    <w:r>
      <w:rPr>
        <w:rFonts w:hint="cs"/>
        <w:rtl/>
      </w:rPr>
      <w:t xml:space="preserve">) מתוך </w:t>
    </w:r>
    <w:hyperlink r:id="rId1" w:anchor="%D7%AA%D7%95%D7%A1%D7%A4%D7%AA_2" w:history="1">
      <w:r w:rsidRPr="008C5CC7">
        <w:rPr>
          <w:rStyle w:val="Hyperlink"/>
          <w:rFonts w:cs="Arial" w:hint="eastAsia"/>
          <w:rtl/>
        </w:rPr>
        <w:t>חוק</w:t>
      </w:r>
      <w:r w:rsidRPr="008C5CC7">
        <w:rPr>
          <w:rStyle w:val="Hyperlink"/>
          <w:rFonts w:cs="Arial"/>
          <w:rtl/>
        </w:rPr>
        <w:t xml:space="preserve"> </w:t>
      </w:r>
      <w:r w:rsidRPr="008C5CC7">
        <w:rPr>
          <w:rStyle w:val="Hyperlink"/>
          <w:rFonts w:cs="Arial" w:hint="eastAsia"/>
          <w:rtl/>
        </w:rPr>
        <w:t>המידע</w:t>
      </w:r>
      <w:r w:rsidRPr="008C5CC7">
        <w:rPr>
          <w:rStyle w:val="Hyperlink"/>
          <w:rFonts w:cs="Arial"/>
          <w:rtl/>
        </w:rPr>
        <w:t xml:space="preserve"> </w:t>
      </w:r>
      <w:r w:rsidRPr="008C5CC7">
        <w:rPr>
          <w:rStyle w:val="Hyperlink"/>
          <w:rFonts w:cs="Arial" w:hint="eastAsia"/>
          <w:rtl/>
        </w:rPr>
        <w:t>הפלילי</w:t>
      </w:r>
      <w:r w:rsidRPr="008C5CC7">
        <w:rPr>
          <w:rStyle w:val="Hyperlink"/>
          <w:rFonts w:cs="Arial"/>
          <w:rtl/>
        </w:rPr>
        <w:t xml:space="preserve"> </w:t>
      </w:r>
      <w:r w:rsidRPr="008C5CC7">
        <w:rPr>
          <w:rStyle w:val="Hyperlink"/>
          <w:rFonts w:cs="Arial" w:hint="eastAsia"/>
          <w:rtl/>
        </w:rPr>
        <w:t>ותקנת</w:t>
      </w:r>
      <w:r w:rsidRPr="008C5CC7">
        <w:rPr>
          <w:rStyle w:val="Hyperlink"/>
          <w:rFonts w:cs="Arial"/>
          <w:rtl/>
        </w:rPr>
        <w:t xml:space="preserve"> </w:t>
      </w:r>
      <w:r w:rsidRPr="008C5CC7">
        <w:rPr>
          <w:rStyle w:val="Hyperlink"/>
          <w:rFonts w:cs="Arial" w:hint="eastAsia"/>
          <w:rtl/>
        </w:rPr>
        <w:t>השבים</w:t>
      </w:r>
      <w:r w:rsidRPr="008C5CC7">
        <w:rPr>
          <w:rStyle w:val="Hyperlink"/>
          <w:rFonts w:cs="Arial"/>
          <w:rtl/>
        </w:rPr>
        <w:t xml:space="preserve">, </w:t>
      </w:r>
      <w:proofErr w:type="spellStart"/>
      <w:r w:rsidRPr="008C5CC7">
        <w:rPr>
          <w:rStyle w:val="Hyperlink"/>
          <w:rFonts w:cs="Arial" w:hint="eastAsia"/>
          <w:rtl/>
        </w:rPr>
        <w:t>התשע״ט</w:t>
      </w:r>
      <w:proofErr w:type="spellEnd"/>
      <w:r w:rsidRPr="008C5CC7">
        <w:rPr>
          <w:rStyle w:val="Hyperlink"/>
          <w:rFonts w:cs="Arial" w:hint="eastAsia"/>
          <w:rtl/>
        </w:rPr>
        <w:t>–</w:t>
      </w:r>
      <w:r w:rsidRPr="008C5CC7">
        <w:rPr>
          <w:rStyle w:val="Hyperlink"/>
          <w:rFonts w:cs="Arial"/>
          <w:rtl/>
        </w:rPr>
        <w:t>2019</w:t>
      </w:r>
    </w:hyperlink>
  </w:p>
  <w:p w14:paraId="0A5FFA78" w14:textId="313CCE23" w:rsidR="008C5CC7" w:rsidRPr="008C5CC7" w:rsidRDefault="008C5CC7" w:rsidP="008C5CC7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E0"/>
    <w:rsid w:val="000611A9"/>
    <w:rsid w:val="001B1C48"/>
    <w:rsid w:val="001E263A"/>
    <w:rsid w:val="002D57CF"/>
    <w:rsid w:val="004546E0"/>
    <w:rsid w:val="00572EFD"/>
    <w:rsid w:val="00622637"/>
    <w:rsid w:val="007869CA"/>
    <w:rsid w:val="008C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05310"/>
  <w15:chartTrackingRefBased/>
  <w15:docId w15:val="{00B235EE-F1D5-42B8-8687-85621EDA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C7"/>
  </w:style>
  <w:style w:type="paragraph" w:styleId="Heading1">
    <w:name w:val="heading 1"/>
    <w:basedOn w:val="Normal"/>
    <w:next w:val="Normal"/>
    <w:link w:val="Heading1Char"/>
    <w:uiPriority w:val="9"/>
    <w:qFormat/>
    <w:rsid w:val="008C5C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CC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CC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CC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CC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CC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CC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CC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CC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CC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CC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CC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CC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CC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CC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CC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CC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CC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C5CC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C5CC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CC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CC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CC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C5CC7"/>
    <w:rPr>
      <w:rFonts w:asciiTheme="majorHAnsi" w:eastAsiaTheme="majorEastAsia" w:hAnsiTheme="majorHAnsi" w:cstheme="majorBidi"/>
      <w:sz w:val="25"/>
      <w:szCs w:val="25"/>
    </w:rPr>
  </w:style>
  <w:style w:type="paragraph" w:styleId="ListParagraph">
    <w:name w:val="List Paragraph"/>
    <w:basedOn w:val="Normal"/>
    <w:uiPriority w:val="34"/>
    <w:qFormat/>
    <w:rsid w:val="00454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CC7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CC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CC7"/>
    <w:rPr>
      <w:color w:val="404040" w:themeColor="text1" w:themeTint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8C5CC7"/>
    <w:rPr>
      <w:b/>
      <w:bCs/>
      <w:caps w:val="0"/>
      <w:smallCaps/>
      <w:color w:val="auto"/>
      <w:spacing w:val="3"/>
      <w:u w:val="single"/>
    </w:rPr>
  </w:style>
  <w:style w:type="character" w:styleId="Hyperlink">
    <w:name w:val="Hyperlink"/>
    <w:basedOn w:val="DefaultParagraphFont"/>
    <w:uiPriority w:val="99"/>
    <w:unhideWhenUsed/>
    <w:rsid w:val="004546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6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8C5CC7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8C5CC7"/>
    <w:rPr>
      <w:b/>
      <w:bCs/>
    </w:rPr>
  </w:style>
  <w:style w:type="character" w:styleId="Emphasis">
    <w:name w:val="Emphasis"/>
    <w:basedOn w:val="DefaultParagraphFont"/>
    <w:uiPriority w:val="20"/>
    <w:qFormat/>
    <w:rsid w:val="008C5CC7"/>
    <w:rPr>
      <w:i/>
      <w:iCs/>
    </w:rPr>
  </w:style>
  <w:style w:type="paragraph" w:styleId="NoSpacing">
    <w:name w:val="No Spacing"/>
    <w:uiPriority w:val="1"/>
    <w:qFormat/>
    <w:rsid w:val="008C5CC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C5CC7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8C5CC7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8C5CC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5CC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C5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C7"/>
  </w:style>
  <w:style w:type="paragraph" w:styleId="Footer">
    <w:name w:val="footer"/>
    <w:basedOn w:val="Normal"/>
    <w:link w:val="FooterChar"/>
    <w:uiPriority w:val="99"/>
    <w:unhideWhenUsed/>
    <w:rsid w:val="008C5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.wikisource.org/wiki/%D7%97%D7%95%D7%A7_%D7%94%D7%9E%D7%99%D7%93%D7%A2_%D7%94%D7%A4%D7%9C%D7%99%D7%9C%D7%99_%D7%95%D7%AA%D7%A7%D7%A0%D7%AA_%D7%94%D7%A9%D7%91%D7%99%D7%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929</Characters>
  <DocSecurity>0</DocSecurity>
  <Lines>7</Lines>
  <Paragraphs>2</Paragraphs>
  <ScaleCrop>false</ScaleCrop>
  <Company>טפז מחשוב טפסים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הסכמה למסירת מידע מהמרשם הפלילי ומידע על תיקים תלויים ועומדים לפי סעיפים 11 או 12 לחוק המידע הפלילי ותקנת השבים, התשע"ט–2019</dc:title>
  <dc:subject/>
  <dc:creator>מערכת tofes101.co.il</dc:creator>
  <cp:keywords/>
  <dc:description/>
  <dcterms:created xsi:type="dcterms:W3CDTF">2024-11-20T17:03:00Z</dcterms:created>
  <dcterms:modified xsi:type="dcterms:W3CDTF">2025-01-08T13:42:00Z</dcterms:modified>
</cp:coreProperties>
</file>